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218</w:t>
      </w:r>
    </w:p>
    <w:p>
      <w:r>
        <w:t>Bundesgericht (BGE), 1979-10-24, FR</w:t>
      </w:r>
    </w:p>
    <w:p>
      <w:r>
        <w:rPr>
          <w:b/>
        </w:rPr>
        <w:t xml:space="preserve">Quelle: </w:t>
      </w:r>
      <w:r>
        <w:t>https://mcp.opencaselaw.ch/entscheid/bge_105 V 218</w:t>
      </w:r>
    </w:p>
    <w:p>
      <w:r>
        <w:t>FR: ATF 105 V 218</w:t>
      </w:r>
    </w:p>
    <w:p>
      <w:r>
        <w:t>IT: DTF 105 V 218</w:t>
      </w:r>
    </w:p>
    <w:p>
      <w:pPr>
        <w:pStyle w:val="Heading2"/>
      </w:pPr>
      <w:r>
        <w:t>Regeste</w:t>
      </w:r>
    </w:p>
    <w:p>
      <w:r>
        <w:t>Regeste Art. 45 IVG und 39bis IVV. Berechnung der Überentschädigung, wenn ein SUVA-Rentner gleichzeitig Bezüger einer Ehepaar-Rente der Invalidenversicherung ist, und im Falle einer SUVA-Rentnerin, deren Ehemann eine Ehepaar-Rente der Invalidenversicherung bezieht. Bemerkung de lege ferenda.</w:t>
      </w:r>
    </w:p>
    <w:p>
      <w:pPr>
        <w:pStyle w:val="Heading2"/>
      </w:pPr>
      <w:r>
        <w:t>Erwägungen</w:t>
      </w:r>
    </w:p>
    <w:p>
      <w:r>
        <w:rPr>
          <w:b/>
        </w:rPr>
        <w:t>E. 1</w:t>
      </w:r>
    </w:p>
    <w:p>
      <w:r>
        <w:t>Aux termes de l' art. 45 al. 1 LAI , s'il y a cumul d'une rente d'invalidité et d'une rente de l'assurance obligatoire en cas d'accidents ou d'une rente de l'assurance militaire, les prestations de ces assurances sont réduites dans la mesure où la totalité de ces rentes dépasse le gain annuel dont on peut présumer que l'assuré sera privé. Usant de la faculté que lui confère l' art. 45 al. 3 LAI , le Conseil fédéral a édicté des prescriptions complémentaires au BGE 105 V 218 S. 221 sujet des réductions ordonnées à l'al. premier précité. Il l'a fait à l' art. 39bis RAI , dont l'al. 4 s'exprime ainsi: "Lorsque la rente d'invalidité simple de l'assuré est remplacée par une rente d'invalidité pour couple, on ne tiendra compte que du montant correspondant à la rente d'invalidité pour couple, y compris les rentes pour enfants éventuelles, qui auraient été calculées sur la base des seules cotisations de l'assuré." En vertu de l' art. 33 al. 1 et 2 LAI , ont droit: a) à une rente entière d'invalidité pour couple, les hommes invalides dans une proportion inférieure ou supérieure aux deux tiers, lorsque l'épouse a 62 ans révolus (60 ans jusqu'au 31 décembre 1978, 61 ans en 1979: disp. trans. 9e rév. AVS let. c) ou est elle-même invalide à raison des deux tiers au moins (de la moitié au moins, si le mari est invalide dans une proportion d'au moins deux tiers); b) à une demi-rente d'invalidité pour couple, les hommes invalides dans une proportion inférieure aux deux tiers, dont l'épouse ne remplit pas les conditions mentionnées ci-dessus mais est invalide à raison de la moitié ou plus et de moins de deux tiers. L'épouse a le droit de demander pour elle la moitié de la rente d'invalidité pour couple ( art. 33 al. 3 LAI ). Si elle le fait, la rente entière n'en demeure pas moins décisive pour le calcul de la surassurance du mari ( ATF 100 V 83 ). La détermination des rentes entrant en compte dans le calcul de la surassurance peut être revue lors de tout nouveau calcul de cette dernière ( ATF 103 V 90 consid. 3a p. 95).</w:t>
      </w:r>
    </w:p>
    <w:p>
      <w:r>
        <w:rPr>
          <w:b/>
        </w:rPr>
        <w:t>E. 2</w:t>
      </w:r>
    </w:p>
    <w:p>
      <w:r>
        <w:t>Le litige porte uniquement sur la façon dont il eût convenu de tenir compte de la rente de couple dans le calcul de la surassurance. La Caisse nationale entend s'en tenir strictement à la méthode prescrite par l' art. 39bis al. 4 RAI . Par conséquent, elle retient la rente de couple qu'aurait reçue Ernest R. si cette rente avait été calculée sur la base des seules cotisations payées par lui. Le revenu déterminant du couple était de 41'500 fr. Celui du mari, de 34'800 fr. Il en résulte, suivant la Caisse nationale, une surassurance de: - période du 1.6. au 31.08.1976 Fr. 97.-- par mois - période du 1.9. au 31.12.1976 Fr. 1297.-- par mois - période du 1.1. au 31.08.1977 Fr. 1345.-- par mois - période du 1.9. au 31.12.1977 Fr. 789.-- par mois BGE 105 V 218 S. 222 d'où après compensation avec des arrérages échus, une dette de l'assuré de 1479 fr., valeur au 31 mars 1978. La solution adoptée par la juridiction cantonale, de ne compter dans le calcul de la surassurance du mari que la moitié de la rente de couple, doit être écartée d'emblée. En effet, elle est l'aboutissement d'un raisonnement dont le point de départ semble être l' art. 33 al. 3 LAI . Or, le Tribunal fédéral des assurances a jugé que l'introduction de cette disposition légale n'avait pas changé le caractère de la rente de couple, qui est une prestation accordée au mari et qui par conséquent entre entière, sous réserve de la dernière proposition de l' art. 39bis al. 4 RAI , dans le calcul de la surassurance de ce conjoint ( ATF 100 V 83 , déjà cité). La méthode proposée par Ernest R. mérite un plus ample examen. Il est exact que, si l'épouse de ce dernier était devenue invalide au sens de l'assurance-invalidité avant que son mari le fût mais alors qu'il aurait déjà reçu une rente de la Caisse nationale, elle aurait obtenu à titre personnel une rente simple, calculée sur la base du revenu de son activité lucrative et de ses années de cotisations, qui n'aurait pas été prise en compte dans le cadre de l' art. 45 al. 1 LAI ( art. 39bis al. 3 let. b RAI ; cf. ATF 101 V 157 ). Cette hypothèse ne s'est toutefois pas réalisée en l'occurrence. Dans le cas particulier, c'est la règle de l' art. 39bis al. 4 RAI qu'il faut appliquer. Cette disposition a pour effet qu'un droit ayant pris naissance à raison d'une circonstance intéressant la femme influe sur le compte de surassurance du mari. Elle établit à l'évidence une certaine inégalité entre le rentier qui bénéficie du gain de son conjoint et celui dont l'épouse doit cesser de travailler pour des raisons de santé. Mais ce sont là des conséquences logiques de l'institution même de la rente de couple conçue comme une prestation due au mari - et jamais à la femme - dans l'intérêt du ménage. En matière de surindemnisation, il ne sera du reste probablement guère critiquable, dans nombre de cas (soit lorsqu'il n'y a pas abandon d'une activité lucrative par l'épouse atteignant l'âge de la retraite ou que l'incapacité de l'épouse d'accomplir ses tâches habituelles n'entraîne pas de frais notables), de porter en compte la rente pour couple désormais allouée à un assuré dont le conjoint atteint l'âge de l'AVS ou dont l'invalidité résulte de l'impossibilité d'accomplir les travaux usuels. La justesse de la solution est BGE 105 V 218 S. 223 en revanche moins évidente lorsque, comme en l'espèce, l'invalidité de la femme entraîne une incapacité de gain. A cet égard, l'assuré estime que le corollaire indiqué de la mise en compte de la rente de couple serait d'ajouter à la perte de gain du mari celle de l'épouse invalide, ce que ni la loi ni le règlement ne font. Il perd toutefois de vue que l' art. 39bis al. 4 RAI répond partiellement à cette objection en ordonnant de prendre en considération non pas la rente de couple effective mais celle qui résulterait des seules cotisations du mari. En édictant cette disposition, le Conseil fédéral n'a pas dépassé les limites de la délégation du pouvoir législatif que lui confère l' art. 45 al. 3 LAI . Certes, dans son message du 27 février 1967 concernant la délégation précitée, il a parlé de ne remédier qu'à "quelques imprécisions" des règles de déduction, "notamment quant à la date de la réduction en cas d'augmentation des rentes, et lorsqu'il s'agit de tenir compte du revenu éventuel provenant d'une activité en nature" (FF 1967 I 715). Mais si des imprécisions plus graves que les exemples cités ci-dessus se sont révélées, le Conseil fédéral n'a pas excédé ses pouvoirs en réglant ces questions aussi. D'ailleurs, la disposition critiquée a remplacé dès 1974 une disposition semblable en vigueur dès 1968. Par la suite, l' art. 45 LAI a été remanié en 1977 sans que l' art. 39bis al. 4 RAI ait été attaqué lors des travaux législatifs. Le recours de la Caisse nationale est ainsi fondé, alors que celui de l'assuré ne l'est pas. Il n'en reste pas moins, cependant, que les arguments d'Ernest R. ne sont pas complètement dépourvus d'intérêt, en droit désirable à tout le moins. Car, outre les inégalités inhérentes au système mentionnées plus haut, il est certain que la situation financière de la famille du prénommé s'est notablement détériorée dès la survenance de l'invalidité de l'épouse, incapable d'apporter désormais au ménage la contribution de son propre salaire, alors que la rente de couple allouée au mari était presque entièrement prise en considération pour le calcul de la surassurance. Par ailleurs, dans le cas de l'épouse mise au bénéfice d'une rente de la Caisse nationale dont le mari se verrait allouer, de son côté, une rente pour couple de l'assurance-invalidité, cette prestation - due au mari et à lui seul - ne saurait entrer en ligne de compte pour vérifier si l'assurée de la Caisse nationale est surindemnisée; ou alors tout au plus dans la mesure où les cotisations de la femme auront conduit à augmenter le montant de cette prestation (par BGE 105 V 218 S. 224 analogie avec la solution consacrée par l' art. 39bis al. 4 RAI ): c'est là une conséquence logique elle aussi du système choisi par le Conseil fédéral. Il est dès lors permis de se demander avec l'assuré s'il ne serait pas préférable, pour décider s'il y a surindemnisation d'un couple, de comparer la situation économique globale de ce dernier avant et après l'octroi des rentes dont le versement pourrait conduire à un enrichissement prohibé.</w:t>
      </w:r>
    </w:p>
    <w:p>
      <w:r>
        <w:rPr>
          <w:b/>
        </w:rPr>
        <w:t>E. 3</w:t>
      </w:r>
    </w:p>
    <w:p>
      <w:r>
        <w:t>Les calculs contenus dans les quatre décisions administratives et la compensation ordonnée n'ont pas été attaqués, en soi, par Ernest R. Cependant, la première décision du 3 janvier 1977 doit être rectifiée, selon les propres déclarations de la Caisse nationale, dans ce sens que le montant de la surassurance pour la période du 1er septembre au 31 décembre 1976 est de 1297 fr. par mois et non de 1339 fr.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